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rightChars="0"/>
        <w:jc w:val="center"/>
        <w:textAlignment w:val="auto"/>
        <w:rPr>
          <w:rFonts w:hint="eastAsia" w:ascii="楷体" w:hAnsi="楷体" w:eastAsia="楷体" w:cs="楷体"/>
          <w:i w:val="0"/>
          <w:caps w:val="0"/>
          <w:color w:val="auto"/>
          <w:spacing w:val="0"/>
          <w:sz w:val="24"/>
          <w:szCs w:val="24"/>
        </w:rPr>
      </w:pPr>
      <w:r>
        <w:rPr>
          <w:rFonts w:hint="eastAsia" w:ascii="楷体" w:hAnsi="楷体" w:eastAsia="楷体" w:cs="楷体"/>
          <w:i w:val="0"/>
          <w:caps w:val="0"/>
          <w:color w:val="auto"/>
          <w:spacing w:val="0"/>
          <w:sz w:val="24"/>
          <w:szCs w:val="24"/>
          <w:bdr w:val="none" w:color="auto" w:sz="0" w:space="0"/>
          <w:shd w:val="clear" w:fill="FFFFFF"/>
        </w:rPr>
        <w:t>理学院学科建设</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jc w:val="both"/>
        <w:textAlignment w:val="auto"/>
        <w:rPr>
          <w:rFonts w:hint="eastAsia" w:ascii="楷体" w:hAnsi="楷体" w:eastAsia="楷体" w:cs="楷体"/>
          <w:b w:val="0"/>
          <w:i w:val="0"/>
          <w:caps w:val="0"/>
          <w:color w:val="auto"/>
          <w:spacing w:val="0"/>
          <w:sz w:val="24"/>
          <w:szCs w:val="24"/>
        </w:rPr>
      </w:pPr>
      <w:r>
        <w:rPr>
          <w:rFonts w:hint="eastAsia" w:ascii="楷体" w:hAnsi="楷体" w:eastAsia="楷体" w:cs="楷体"/>
          <w:b w:val="0"/>
          <w:i w:val="0"/>
          <w:caps w:val="0"/>
          <w:color w:val="auto"/>
          <w:spacing w:val="0"/>
          <w:sz w:val="24"/>
          <w:szCs w:val="24"/>
          <w:bdr w:val="none" w:color="auto" w:sz="0" w:space="0"/>
          <w:shd w:val="clear" w:fill="FFFFFF"/>
        </w:rPr>
        <w:t>理学院目前拥有应用统计学硕士专业授权点，同时与计量经济学、食品科学共同培养数量经济学、食品科学与工程方面的硕士研究生。学院先后建设完成经济与统计实验教学示范中心、数学与统计学实践教学基地、物理实验教学示范中心、化学实验教学示范中心，实验室面积3125平方米，仪器设备总值达1000余万元。</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jc w:val="both"/>
        <w:textAlignment w:val="auto"/>
        <w:rPr>
          <w:rFonts w:hint="eastAsia" w:ascii="楷体" w:hAnsi="楷体" w:eastAsia="楷体" w:cs="楷体"/>
          <w:b w:val="0"/>
          <w:i w:val="0"/>
          <w:caps w:val="0"/>
          <w:color w:val="auto"/>
          <w:spacing w:val="0"/>
          <w:sz w:val="24"/>
          <w:szCs w:val="24"/>
        </w:rPr>
      </w:pPr>
      <w:r>
        <w:rPr>
          <w:rFonts w:hint="eastAsia" w:ascii="楷体" w:hAnsi="楷体" w:eastAsia="楷体" w:cs="楷体"/>
          <w:b w:val="0"/>
          <w:i w:val="0"/>
          <w:caps w:val="0"/>
          <w:color w:val="auto"/>
          <w:spacing w:val="0"/>
          <w:sz w:val="24"/>
          <w:szCs w:val="24"/>
          <w:bdr w:val="none" w:color="auto" w:sz="0" w:space="0"/>
          <w:shd w:val="clear" w:fill="FFFFFF"/>
        </w:rPr>
        <w:t>学院坚持以学科建设为龙头，以师资队伍建设为核心，以硬件建设为支撑，以制度建设为保障，狠抓特色人才培养和教学质量的提高。近年来，在师资队伍建设、学科建设、教学研究、人才培养、科学研究等方面取得了长足的进步。高等数学、数学分析2门课程被评为天津市精品课程；微积分等7门课程被评为校级精品课程；学院教师研制的物理演示实验仪器获得国家奖励；教师自主开发的多媒体课件、编写的教材多次获得国家、天津市各类奖励；大学数学基础课教学团队被评为天津市优秀教学团队；统计学专业（风险管理与精算方向）被评为天津市战略新兴产业相关专业；物理实验教学示范中心、经济与统计实验教学示范中心获批为天津市实验教学示范中心立项建设单位；在全国大学生数学建模等各级各类学科竞赛活动中，学院连续多年取得优异成绩，获得多项国家奖。近五年来，学院教师发表论文200余篇，其中被SCI、SSCI、EI、ISTP检索论文120余篇；承担省部级以上教研项目20余项，获省部级以上教学奖励10项；承担省部级以上科研项目，产学研合作项目60余项、获得省部级科技奖3项、已授权发明专利10余项。</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E3782C"/>
    <w:rsid w:val="6D535020"/>
    <w:rsid w:val="6FE378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ll\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ScaleCrop>false</ScaleCrop>
  <LinksUpToDate>false</LinksUpToDate>
  <CharactersWithSpaces>0</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2018-04-02T00:32:00Z</dcterms:created>
  <dc:creator>dell</dc:creator>
  <cp:lastModifiedBy>dell</cp:lastModifiedBy>
  <dcterms:modified xsi:type="dcterms:W3CDTF">2018-04-02T00:33:46Z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